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CC" w:rsidRDefault="00CD6ECC" w:rsidP="003B6533">
      <w:r>
        <w:separator/>
      </w:r>
    </w:p>
  </w:endnote>
  <w:endnote w:type="continuationSeparator" w:id="0">
    <w:p w:rsidR="00CD6ECC" w:rsidRDefault="00CD6ECC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A6" w:rsidRDefault="00F46BA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F46BA6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F46BA6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A6" w:rsidRDefault="00F46B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CC" w:rsidRDefault="00CD6ECC" w:rsidP="003B6533">
      <w:r>
        <w:separator/>
      </w:r>
    </w:p>
  </w:footnote>
  <w:footnote w:type="continuationSeparator" w:id="0">
    <w:p w:rsidR="00CD6ECC" w:rsidRDefault="00CD6ECC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A6" w:rsidRDefault="00F46B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A6" w:rsidRDefault="00F46B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A6" w:rsidRDefault="00F46B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D6ECC"/>
    <w:rsid w:val="00CE73DA"/>
    <w:rsid w:val="00D304F2"/>
    <w:rsid w:val="00DF3385"/>
    <w:rsid w:val="00F4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1BB9-0ACE-4C54-A7B5-499A2A5B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2024-07-11T03:05:00Z</dcterms:modified>
</cp:coreProperties>
</file>